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E84F6">
      <w:pPr>
        <w:pStyle w:val="2"/>
        <w:keepNext w:val="0"/>
        <w:keepLines w:val="0"/>
        <w:widowControl/>
        <w:suppressLineNumbers w:val="0"/>
        <w:jc w:val="center"/>
      </w:pPr>
      <w:r>
        <w:t>锡林郭勒盟行政公署关于印发《锡林郭勒盟人工智能赋能高质量发展实施方案（2026—2028年）》的通知</w:t>
      </w:r>
    </w:p>
    <w:p w14:paraId="20598FB6">
      <w:pPr>
        <w:jc w:val="center"/>
      </w:pPr>
      <w:r>
        <w:rPr>
          <w:rFonts w:ascii="宋体" w:hAnsi="宋体" w:eastAsia="宋体" w:cs="宋体"/>
          <w:sz w:val="24"/>
          <w:szCs w:val="24"/>
        </w:rPr>
        <w:t>锡署发〔2026〕5号</w:t>
      </w:r>
    </w:p>
    <w:p w14:paraId="4863AE75"/>
    <w:p w14:paraId="20D9C847"/>
    <w:p w14:paraId="64D21B32">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各旗县市（区）人民政府（管委会），盟各委、办、局，各企事业单位：</w:t>
      </w:r>
    </w:p>
    <w:p w14:paraId="31147309">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《锡林郭勒盟人工智能赋能高质量发展实施方案（2026—2028年）》已经行署2026年第5次常务会议审议通过，现印发给你们，请认真抓好落实。</w:t>
      </w:r>
    </w:p>
    <w:p w14:paraId="52CA358A">
      <w:pPr>
        <w:pStyle w:val="3"/>
        <w:keepNext w:val="0"/>
        <w:keepLines w:val="0"/>
        <w:widowControl/>
        <w:suppressLineNumbers w:val="0"/>
        <w:spacing w:before="210" w:beforeAutospacing="0" w:after="210" w:afterAutospacing="0" w:line="315" w:lineRule="atLeast"/>
        <w:jc w:val="right"/>
        <w:rPr>
          <w:rFonts w:hint="eastAsia" w:ascii="宋体" w:hAnsi="宋体" w:eastAsia="宋体" w:cs="宋体"/>
          <w:sz w:val="24"/>
          <w:szCs w:val="24"/>
        </w:rPr>
      </w:pPr>
      <w:r>
        <w:rPr>
          <w:rFonts w:hint="eastAsia" w:ascii="宋体" w:hAnsi="宋体" w:eastAsia="宋体" w:cs="宋体"/>
          <w:sz w:val="24"/>
          <w:szCs w:val="24"/>
        </w:rPr>
        <w:t>　　锡林郭勒盟行政公署      </w:t>
      </w:r>
    </w:p>
    <w:p w14:paraId="5EC79E8D">
      <w:pPr>
        <w:pStyle w:val="3"/>
        <w:keepNext w:val="0"/>
        <w:keepLines w:val="0"/>
        <w:widowControl/>
        <w:suppressLineNumbers w:val="0"/>
        <w:spacing w:before="210" w:beforeAutospacing="0" w:after="210" w:afterAutospacing="0" w:line="315" w:lineRule="atLeast"/>
        <w:jc w:val="right"/>
        <w:rPr>
          <w:rFonts w:hint="eastAsia" w:ascii="宋体" w:hAnsi="宋体" w:eastAsia="宋体" w:cs="宋体"/>
          <w:sz w:val="24"/>
          <w:szCs w:val="24"/>
        </w:rPr>
      </w:pPr>
      <w:r>
        <w:rPr>
          <w:rFonts w:hint="eastAsia" w:ascii="宋体" w:hAnsi="宋体" w:eastAsia="宋体" w:cs="宋体"/>
          <w:sz w:val="24"/>
          <w:szCs w:val="24"/>
        </w:rPr>
        <w:t>　　2026年3月13日       </w:t>
      </w:r>
    </w:p>
    <w:p w14:paraId="3C9C3E5E">
      <w:pPr>
        <w:pStyle w:val="3"/>
        <w:keepNext w:val="0"/>
        <w:keepLines w:val="0"/>
        <w:widowControl/>
        <w:suppressLineNumbers w:val="0"/>
        <w:spacing w:before="210" w:beforeAutospacing="0" w:after="210" w:afterAutospacing="0" w:line="315" w:lineRule="atLeast"/>
        <w:jc w:val="center"/>
        <w:rPr>
          <w:rFonts w:hint="eastAsia" w:ascii="宋体" w:hAnsi="宋体" w:eastAsia="宋体" w:cs="宋体"/>
          <w:sz w:val="24"/>
          <w:szCs w:val="24"/>
        </w:rPr>
      </w:pPr>
      <w:r>
        <w:rPr>
          <w:rFonts w:hint="eastAsia" w:ascii="宋体" w:hAnsi="宋体" w:eastAsia="宋体" w:cs="宋体"/>
          <w:sz w:val="24"/>
          <w:szCs w:val="24"/>
        </w:rPr>
        <w:t>　　锡林郭勒盟人工智能赋能高质量发展</w:t>
      </w:r>
    </w:p>
    <w:p w14:paraId="34272B7D">
      <w:pPr>
        <w:pStyle w:val="3"/>
        <w:keepNext w:val="0"/>
        <w:keepLines w:val="0"/>
        <w:widowControl/>
        <w:suppressLineNumbers w:val="0"/>
        <w:spacing w:before="210" w:beforeAutospacing="0" w:after="210" w:afterAutospacing="0" w:line="315" w:lineRule="atLeast"/>
        <w:jc w:val="center"/>
        <w:rPr>
          <w:rFonts w:hint="eastAsia" w:ascii="宋体" w:hAnsi="宋体" w:eastAsia="宋体" w:cs="宋体"/>
          <w:sz w:val="24"/>
          <w:szCs w:val="24"/>
        </w:rPr>
      </w:pPr>
      <w:r>
        <w:rPr>
          <w:rFonts w:hint="eastAsia" w:ascii="宋体" w:hAnsi="宋体" w:eastAsia="宋体" w:cs="宋体"/>
          <w:sz w:val="24"/>
          <w:szCs w:val="24"/>
        </w:rPr>
        <w:t>　　实施方案（2026—2028年）</w:t>
      </w:r>
    </w:p>
    <w:p w14:paraId="3BF2AAAA">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为深入贯彻《国务院关于深入实施“人工智能+”行动的意见》（国发〔2025〕11号）、《内蒙古自治区促进人工智能产业高质量发展实施方案（2025—2027年）》（内政数发〔2025〕3号）等精神，加快培育和发展人工智能产业，赋能全盟高质量发展，结合我盟实际，制定本实施方案。</w:t>
      </w:r>
    </w:p>
    <w:p w14:paraId="37676707">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一、总体要求</w:t>
      </w:r>
    </w:p>
    <w:p w14:paraId="500AAD57">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以习近平新时代中国特色社会主义思想为指导，深入贯彻党的二十大和二十届历次全会精神，认真落实习近平总书记对内蒙古系列重要讲话重要指示精神，紧紧围绕铸牢中华民族共同体意识工作主线，全面落实自治区党委“1571”工作部署，立足锡林郭勒盟优势产业基础和应用场景，积极布局人工智能产业，实施“人工智能+”行动，赋能实体经济、民生保障、社会治理等各领域，探索构建“北上广深研发—锡林郭勒盟集成—面向蒙俄市场”的人工智能合作高地。</w:t>
      </w:r>
    </w:p>
    <w:p w14:paraId="652D7E66">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到2028年，智算总规模突破10万PFLOPS（FP16），引进算力中心建设企业5—8家；在重点行业和民生领域深度普及新一代智能终端、智能体，在产业升级、消费提质、公共服务、社会治理、国际合作等5个方面16个领域，每个领域打造人工智能典型应用示范案例2个以上；引进培育数智化转型服务、数据加工治理、大模型训练、智能设备生产制造等企业20家以上，建设“人工智能+”应用展示中心，持续为全盟高质量发展注入创新活力。</w:t>
      </w:r>
    </w:p>
    <w:p w14:paraId="46DA8CFA">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二、重点任务</w:t>
      </w:r>
    </w:p>
    <w:p w14:paraId="321DECE3">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（一）推进人工智能技术落地应用。</w:t>
      </w:r>
    </w:p>
    <w:p w14:paraId="76D839ED">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1.开展重点领域人工智能技术应用。围绕现代能源、智慧畜牧、草原生态等重点领域，推动细分场景人工智能大模型开发应用。联合西安交通大学、内蒙古工业大学、中国科学院植物研究所等高校和科研院所，结合能源管理、沙地防治、智慧畜牧等领域实际需求，推动人工智能技术转化与应用示范。促进人工智能解决方案在本地特色产业应用，依托“蒙科聚”等平台对接技术供需，鼓励本地企业与科研机构共建联合体，开展共性技术攻关与落地验证。 （责任单位：盟科技局、政数局、农牧局、能源局、林草局、生态环境局等部门，各旗县市（区）人民政府（管委会）按职责分工负责，下同不再单列）</w:t>
      </w:r>
    </w:p>
    <w:p w14:paraId="6A6EB249">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2.积极推动人工智能成果转化。支持企业围绕产业升级、社会治理、民生服务等场景，推动人工智能成熟技术本地化应用。支持企业参加自治区绿色算力大会、中蒙博览会等重要展会，引进先进适用技术与合作项目，同时积极参与国家级数据要素、高质量数据集、可信数据空间等领域应用案例评选。主动对接北上广深地区，建立常态化人工智能合作机制，面向蒙俄市场需求，承接外部成果并开展本地化适配。（责任单位：盟发改委、政数局、科技局等部门按职责分工负责）</w:t>
      </w:r>
    </w:p>
    <w:p w14:paraId="6F6B741E">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（二）提升人工智能基础设施供给水平。</w:t>
      </w:r>
    </w:p>
    <w:p w14:paraId="713CDD1E">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1.科学布局算力产业。依托区位、绿电、网络、土地、气候等优势，推动太仆寺旗、正镶白旗、镶黄旗、正蓝旗、多伦县等南部地区，充分利用紧邻和林格尔、张家口国家数据中心集群区位优势，建设南部智算产业聚集区。推动二连浩特市、苏尼特左旗、苏尼特右旗等西部地区，以“一带一路”数字经济走廊建设为契机，建设西部边缘算力中心集群，为跨境数据交互、业务互通、监管互认、服务共享等国际交流合作提供算力基础。（责任单位：盟政数局、发改委、自然资源局等部门按职责分工负责）</w:t>
      </w:r>
    </w:p>
    <w:p w14:paraId="4B8C3907">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2.促进绿色电力与算力协同发展。加强新能源与算力设施协同规划、布局与建设，统筹算力发展需求与新能源资源禀赋，科学整合源网荷储资源，推进算电协同与多能互补，提升电力与算力协调输送能力。鼓励算力中心企业与能源企业协同建设，通过绿电直连等方式，确保绿电消费比例达到80%以上。（责任单位：盟能源局、发改委、政数局等部门按职责分工负责）</w:t>
      </w:r>
    </w:p>
    <w:p w14:paraId="21B0F5B8">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3.强化网络保障水平。积极争取国家电信普遍服务试点，持续升级传统网络设施，推动5G、千兆光网向农村牧区及偏远地区覆盖，推动5G-A在机场、车站、热点景区、工业园区等区域实现有效覆盖，扩大万兆光网覆盖规模；推动现有网络带宽进行400G/800G改造，适度超前布局6G、卫星互联网等新型基础设施，规划并争取建设网络传输骨干通道，强化跨区域算力协同与数据流通能力。（责任单位：盟工信局、通管办等部门，各运营商按职责分工负责）</w:t>
      </w:r>
    </w:p>
    <w:p w14:paraId="7990CB0D">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4.夯实数据基础底座。深化公共数据开放共享、登记管理及授权运营，鼓励企业开展数据治理、入表及开发利用。统筹推动政务数据平台升级，支持企业部署公共数据授权运营、数据标注、高质量数据集服务等平台。支持企业利用数据标注、数据合成等技术，促进适配人工智能发展的高质量数据集开放共享和流通交易，鼓励探索基于价值贡献度的数据成本补偿、收益分成等方式，提升高质量数据集供给水平。（责任单位：盟政数局，盟各相关部门按职责分工负责）</w:t>
      </w:r>
    </w:p>
    <w:p w14:paraId="431F39E3">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（三）培育人工智能产业生态。</w:t>
      </w:r>
    </w:p>
    <w:p w14:paraId="7CB8B030">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1.培育人工智能企业。围绕草原畜牧、现代能源、装备制造、文化旅游、低空经济、生态治理等细分领域场景，积极引育大模型训练企业，吸引人工智能算法、应用开发企业依法依规落地；积极开拓蒙俄市场，培育形成一批具有区域服务特色的优势企业，将北上广深标准化技术模块转化为符合蒙俄需求的定制化解决方案，提供业务集成、本地化运维等服务。（责任单位：盟政数局、发改委、商务局、工商联等单位按职责分工负责）</w:t>
      </w:r>
    </w:p>
    <w:p w14:paraId="3B09D3DA">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2.探索数字产品制造业。推动铁合金新材料、铝基新材料、风电装备制造、电缆及配电设备等产业，向算力设备制造链条延伸，积极发展服务器、机柜等产品制造业。依托光电子新材料、工业硅、锂电池等产业基础，前瞻性布局机器人电池、智能控制器、智能传感器等智能终端产品制造业。围绕极寒天气、草原牧区、口岸等特定应用场景，培育形成一批特种机器人、智能工程机械、边缘计算设备等研发制造企业。（责任单位：盟发改委、工信局等部门按职责分工负责）</w:t>
      </w:r>
    </w:p>
    <w:p w14:paraId="16BD2B44">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3.推动产业集聚发展。支持锡林浩特市等地区打造数字产业园，推进人工智能产业集中布局、集聚发展。支持锡林浩特市、二连浩特市等地区打造人工智能应用展示中心，围绕优势特色产业，打造集产业成果展示窗、AI赋能实验场、招商引资会客厅与科普教育新地标于一体的综合性服务基地，运用数字孪生、AIGC、VR/AR等技术，展现智慧能源、智慧畜牧、数字口岸等场景。（责任单位：盟政数局、发改委等部门按职责分工负责）</w:t>
      </w:r>
    </w:p>
    <w:p w14:paraId="6DC8F325">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（四）开展“人工智能+”行动。</w:t>
      </w:r>
    </w:p>
    <w:p w14:paraId="63F0444E">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1.赋能产业升级。</w:t>
      </w:r>
    </w:p>
    <w:p w14:paraId="3D3D2118">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1）“人工智能+”新型能源。加快电网智能化转型方面，围绕新型电力系统下的电网安全、新能源消纳、运行效率等要求，开展电网智能诊断分析，提升电网工程智慧建设管理；促进人工智能技术融入电力应急体系和能力建设，提升电力系统防灾减灾救灾智能化水平。推动能源新业态发展方面，围绕能源保供和绿色低碳转型需求，推动人工智能在零碳园区、智能微电网、算电协同中的应用，提升源网荷储一体化智能运行水平，促进新能源就地消纳。提升新能源生产效率方面，针对新能源出力波动性和间歇性问题，推动新能源场站探索部署预测大模型系统，支撑广域新能源资源协同优化，促进偏远地区新能源场站智能运维。提升火电全生命周期管控方面，围绕火电清洁降碳、安全可靠、高效调节、智能运行的发展方向，在燃料管控、生产运行优化与智能控制、设备全生命周期管理等业务场景协同开展人工智能赋能及技术创新。推动火电运行控制系统智能化发展和应用，提升火电关键装备全生命周期智能监测及健康管理能力。带动煤炭安全生产方面，聚焦煤炭洗选、生产调度、安全管控、设备管理等典型场景，融合应用智能模型，实现生产过程智能控制与自主决策，助力少人无人化作业常态化运行，稳步推进减人、增安、提效。推动油气产业智能化升级方面，在现场作业操控、生产运行管控等方向，推动勘探地质目标智能评价、开发方案智能优化、钻井压裂等作业参数智能调整、管网运行实时仿真。加快无人机、智能感知系统等智能生产技术装备应用，推动生产全过程智能联动与自动优化。（责任单位：盟能源局、应急管理局、发改委等部门按职责分工负责）</w:t>
      </w:r>
    </w:p>
    <w:p w14:paraId="0790A9B1">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2）“人工智能+”工业。提升装备制造智能水平方面，积极培育智能工厂，支持具备资质的企业打造数据全程可视、生产自主调优的标杆智能车间。推广特种工业机器人在喷涂、焊接、高危物料搬运等恶劣环境中替代人工作业，推广人工智能视觉检测在质量检测等环节的应用，提升生产安全与效率。提升矿业生产精准化水平方面，支持建设覆盖车间生产数据采集与处理、实时画面监控、生产指令下达与作业调度的集中管控平台，实现主要设备运行参数监控与异常预警；推广智能取样机器人、AI安全生产管理系统，形成生产全环节的一体化智能感知、闭环控制和安全监管体系。推进化工行业数智化升级方面，支持企业构建生产实时监测系统与安全预警模型，实现智能化风险预警，为安全决策提供支撑。（责任单位：盟工信局、应急管理局等部门按职责分工负责）</w:t>
      </w:r>
    </w:p>
    <w:p w14:paraId="14124B0D">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3）“人工智能+”现代农牧业。推动畜牧业智能化发展方面，支持企业构建智慧畜牧平台，部署传感器、无人机、智能摄像头等设备，通过采集环境、生产等多维数据，实现实时监测与动态感知。推动智慧牧场建设，推广AI智能项圈/耳标、无人机放牧，实现草畜平衡监测、疫病预警、精准饲喂指导，提升草原畜牧业智能管理水平。助力地方良种提升方面，围绕华西牛制种供种，乌珠穆沁羊、苏尼特羊提纯复壮，察哈尔羊选育扩繁等良种繁育，构建基于个体识别的全生命周期档案，利用人工智能算法挖掘控制肉、毛、繁殖等性状的关键基因，实现从基因选择、健康管理到群体优化的全链条智能化决策，提升育种效率与品种质量。赋能农业高效种植方面，支持太仆寺旗、正镶白旗、正蓝旗、多伦县等地区强化人工智能技术在节水灌溉、变量施肥、病虫害远程诊断等方面应用。推广智能温室、智能育苗、智能分拣等智能设备，打造冷凉蔬菜、马铃薯等数字农业示范。农畜产品加工流通提质增效方面，聚焦屠宰、加工、冷链、物流全链条，推广智能视觉质检与在线监测、智慧冷链网络、无人叉车、智能分拣等应用，提升农畜产品加工流通智能化水平。（责任单位：盟农牧局、品牌中心等单位按职责分工负责）</w:t>
      </w:r>
    </w:p>
    <w:p w14:paraId="29F44089">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4）“人工智能+”低空经济。围绕打造锡林郭勒盟低空经济产业基地，建设智能化低空飞行服务中心，通过AI算法实现空域资源动态分配、飞行计划实时优化与冲突预警，为有人/无人驾驶航空器提供全流程自动化服务。搭建无人机系统智能检测平台，利用机器视觉与自适应诊断算法，对无人机适航状态、部件性能及数据链安全进行自动化检测与预测性维护，确保低空作业安全可靠。构建低空大数据与信息服务平台，集成多源感知数据与交通流信息，通过AI模型实现低空气象预警、流量仿真、路径规划和应急指挥，为企业运营、公众服务等提供智能决策支撑。（责任单位：盟发改委、交通局、工信局等部门按职责分工负责）</w:t>
      </w:r>
    </w:p>
    <w:p w14:paraId="27006C9E">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2.赋能消费提质。</w:t>
      </w:r>
    </w:p>
    <w:p w14:paraId="6616957F">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1）“人工智能+”文化旅游。搭建全盟统一智慧旅游平台，依托西乌旗99号公路、乌拉盖九曲湾、元上都遗址、多伦湖、锡林郭勒千里草原风景大道、浑善达克大环线等文旅资源，结合全盟吃、住、行、游、购、娱等实时数据，建设草原文化旅游服务智能体。推动乌拉盖九曲湾、元上都遗址、多伦湖等重点景区提升管理智能化水平，推广人工智能讲解员，为游客提供多语种景点讲解、文化故事沉浸式导览等服务，打造交互式、沉浸式体验场景。推动无人机系统在景区人流监测、治安防控、应急救援等多场景应用，提升景区运营效率与游客体验质量。（责任单位：盟文体旅游广电局等部门按职责分工负责）</w:t>
      </w:r>
    </w:p>
    <w:p w14:paraId="208EE6B2">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2）“人工智能+”休闲畜牧业。立足草原畜牧业特色资源优势，打造“草原放牧深度体验+生态研学”差异化休闲体系。建设智慧牧场远程体验基地，推广牛羊数字认养模式。建设数字研学营地，打造草原植被与野生动物AR识别图鉴、传统放牧技艺数字课程等体验项目。（责任单位：盟农牧局、文体旅游广电局等部门按职责分工负责）</w:t>
      </w:r>
    </w:p>
    <w:p w14:paraId="43B8D998">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3）“人工智能+”数字消费。探索人工智能技术与消费创新融合，推动传统商贸服务提质增效，发展消费新业态、新模式、新场景，因地制宜打造智慧商圈、智慧商店，配备智能支付终端、智能停车等设备设施，持续提高优质商品和服务供给水平。积极打造草原文化虚拟体验等数字产品，推动应用人工智能+3D打印技术，实现本地文创产品实时设计生成。（责任单位：盟商务局、文体旅游广电局等部门按职责分工负责）</w:t>
      </w:r>
    </w:p>
    <w:p w14:paraId="7885409F">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3.赋能公共服务。</w:t>
      </w:r>
    </w:p>
    <w:p w14:paraId="635F769B">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1）“人工智能+”医疗健康。利用人工智能技术提升基层医疗水平，推广5G+AI辅助诊断技术应用，扩大远程影像、远程超声、远程心电，远程手术示教、远程病理诊断、远程医学培训等覆盖范围。整合盟内医疗康养服务资源，支持建设集慢病监测、用药提醒、紧急呼叫等功能于一体的智慧居家养老服务平台，推广智能可穿戴设备、智能康复机器人、陪伴机器人等产品，实现养老、健康、医疗资源共享与高效协同。（责任单位：盟卫健委、民政局等部门按职责分工负责）</w:t>
      </w:r>
    </w:p>
    <w:p w14:paraId="69E30B9E">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2）“人工智能+”教育。实施“人工智能+教育”行动，全学段开设人工智能教育课程，每学年不少于8课时，全盟各中小学校至少建设1个人工智能教育实验室。强化自治区AI智慧教育平台应用，通过人工智能大模型辅助智能备课、课件生成、网络巡课、教学诊断分析等，全面提升教育教学数智化水平。构建虚实融合的远程互动教学环境，推动个性化教学与技能实训深度融合，鼓励锡林郭勒职业学院联合人工智能企业开展产学研协作。（责任单位：盟教育局、锡林郭勒职业学院等单位按职责分工负责）</w:t>
      </w:r>
    </w:p>
    <w:p w14:paraId="546EC207">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3）“人工智能+”政务服务。打造智能化政务服务体系，在企业开办、项目审批等领域，推动人工智能赋能“高效办成一件事”，基于大数据分析精准推送惠企政策，推动更多政策实现“免申即享”。完善产业生态服务，运用人工智能技术分析产业链供应链状况，为企业智能匹配融资渠道和人才资源，助力企业降本增效。利用人工智能技术提升12345热线服务水平，着力打造规范化、智能化的诉求响应体系。加快招投标领域人工智能技术应用，围绕招标、投标、评标、定标、监管全流程，推动人工智能在文件编制与检测、智能辅助评标、围串标识别等方面应用。（责任单位：盟政数局、发改委、财政局、公共资源交易中心等单位按职责分工负责）</w:t>
      </w:r>
    </w:p>
    <w:p w14:paraId="494594EF">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4）“人工智能+”交通运输。推动人工智能技术在提高交通安全管理效能方面应用，利用警用无人机等技术，整合监控资源与巡航画面，提升恶劣天气和夜间巡查能力。构建“空地协同”立体化巡逻体系，在重要交通安保任务中，实现智能巡查全覆盖，建立道路隐患排查自动识别与预警机制，通过AI分析推送隐患点段，缩短人工排查时间。支持人工智能技术在交通信号智能调控、雨雪冰冻等恶劣天气下交通事故预判预警等方面应用，推广智能网联公交、无人清扫车，提升城市交通管理水平。创新末端配送模式，支持各旗县市（区）在主城区布局智能快递柜、无人配送车、社区团购自提点，推广无人机配送在草原牧区紧急物资投送等方面应用。（责任单位：盟交通运输局、公安局、邮政管理局等部门按职责分工负责）</w:t>
      </w:r>
    </w:p>
    <w:p w14:paraId="2D1D5627">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4.赋能社会治理。</w:t>
      </w:r>
    </w:p>
    <w:p w14:paraId="118B61A3">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1）“人工智能+”生态环境。围绕美丽城市先行区建设，聚焦全盟草原生态保护建设需求，加快构建自然资源与生态环境监测大模型，深化污染排放监测、资源回收管理、生态系统修复、草原资源保护等多领域数据融合与智能分析应用。支持综合利用空天遥感、无人机巡查等智能感知技术与装备，构建覆盖大气、水、土壤、草原、沙漠、湿地、森林及濒危物种的空天地一体化智能监测评估网络，实现对生态本底的实时动态感知。（责任单位：盟生态环境局、自然资源局、林草局等部门按职责分工负责）</w:t>
      </w:r>
    </w:p>
    <w:p w14:paraId="52D77F12">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2）“人工智能+”安全监管。依托煤矿与非煤矿山安全生产风险监测预警系统，引入AI智能分析技术，对井下违规作业、设备异常状态进行智能识别与远程监管执法。整合多部门数据，建立企业信用风险预警模型，对守法企业“无事不扰”、对风险企业精准监管。推进食品安全“互联网+AI监管”、加油站综合智慧监管等系统建设应用，实现数据共享、业务协同、精准监管。依托物联网传感器与AI分析系统，实现对消防隐患的自动巡检与智能识别，针对救援难度大、次生风险高的有限、有毒空间，推动消防机器人、无人机等智能装备应用。融合气象卫星监测、野外火情视频监控等数据，智能识别、自动捕捉火点烟雾，提升森林草原早期火情监测预警水平。升级智慧应急管理平台，嵌入AI分析模型，完善资源调配与应急指挥功能，探索无人机、机器人等智能装备在自主巡检、协同救援等方面应用，提升对各类突发事件的快速响应与协同处置能力。（责任单位：盟应急管理局、市场监管局、气象局、消防救援支队等部门按职责分工负责）</w:t>
      </w:r>
    </w:p>
    <w:p w14:paraId="7F7DD803">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3）“人工智能+”城市治理。支持各旗县市（区）因地制宜对城镇供水、排水、供电、燃气、热力、消火栓、地下管网等市政基础设施进行数字化升级改造和智能化管理，探索面向新一代智能终端发展的城市规划、建设与治理，提升城市运行智能化水平。支持锡林浩特市等地区升级城市精细化管理平台，实现对城市事件的精准感知，围绕交通仿真、灾害推演、地下管网监测等场景，建立全面感知的研判、决策、治理一体化城市管理模式。（责任单位：盟住建局、水利局等部门按职责分工负责）</w:t>
      </w:r>
    </w:p>
    <w:p w14:paraId="3EAAB866">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5.赋能国际合作。</w:t>
      </w:r>
    </w:p>
    <w:p w14:paraId="575B1395">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1）“人工智能+”智慧口岸。推动二连浩特口岸、珠恩嘎达布其口岸通关设施设备智能化改造，升级智慧口岸运行管理平台，应用智能识别、非侵入式查验、自动化集装箱管理等技术，实现最小干预、快捷通关，探索推进无感通关，实现一次申报、联合审查、统一放行。（责任单位：盟商务局等部门按职责分工负责）</w:t>
      </w:r>
    </w:p>
    <w:p w14:paraId="1A1DB7D5">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2）“人工智能+”数字贸易。鼓励二连浩特市依托跨境电子商务综合试验区、自由贸易试验区、中蒙经济合作区建设契机，完善跨境贸易智能综合服务体系，探索智能撮合、智能合约、数字人民币跨境支付，便利在线跨境交易。（责任单位：盟商务局等部门按职责分工负责）</w:t>
      </w:r>
    </w:p>
    <w:p w14:paraId="061CE817">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三、保障措施</w:t>
      </w:r>
    </w:p>
    <w:p w14:paraId="4337C6AC">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一）加强组织保障。充分发挥锡林郭勒盟政府职能转变和数字政府建设领导小组统筹协调职能，建立“人工智能+”行动工作协同推进机制，统筹推进人工智能产业发展重大政策制定、重点任务落实、重点项目建设等工作。各行业主管部门负责抓好本行业本领域“人工智能+”赋能应用和典型案例打造工作，各旗县市（区）人民政府（管委会）切实履行属地责任，推进人工智能重点项目建设、应用场景打造等相关工作。（责任单位：盟政数局，盟各相关部门按职责分工负责）</w:t>
      </w:r>
    </w:p>
    <w:p w14:paraId="37B81890">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二）强化政策支持。积极争取国家、自治区相关政策支持，研究制定本地区促进人工智能发展配套政策。支持人工智能产业基础设施、技术创新、应用场景等项目建设，鼓励社会资本加大对人工智能产业投资力度。协助企业和项目争取国家及自治区资金支持和相关政府投资基金。（责任单位：盟发改委、政数局、财政局，盟各相关部门按职责分工负责）</w:t>
      </w:r>
    </w:p>
    <w:p w14:paraId="6EF3A9F2">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三）加强人才培养。推动人工智能相关专业学科建设，支持锡林郭勒职业学院开设相关专业，开展人工智能领域职业技能培训，培养数据标注、AI系统运维等实用型技能人才。聚焦重点项目建设和重点企业发展，大力引育人工智能复合型人才，挖掘人工智能技术落地、部署、维护等领域新增就业岗位。（责任单位：盟教育局、人社局、锡林郭勒职业学院等单位按职责分工负责）</w:t>
      </w:r>
    </w:p>
    <w:p w14:paraId="58D2D48E">
      <w:pPr>
        <w:pStyle w:val="3"/>
        <w:keepNext w:val="0"/>
        <w:keepLines w:val="0"/>
        <w:widowControl/>
        <w:suppressLineNumbers w:val="0"/>
        <w:spacing w:before="210" w:beforeAutospacing="0" w:after="210" w:afterAutospacing="0" w:line="315" w:lineRule="atLeast"/>
        <w:jc w:val="both"/>
        <w:rPr>
          <w:rFonts w:hint="eastAsia" w:ascii="宋体" w:hAnsi="宋体" w:eastAsia="宋体" w:cs="宋体"/>
          <w:sz w:val="24"/>
          <w:szCs w:val="24"/>
        </w:rPr>
      </w:pPr>
      <w:r>
        <w:rPr>
          <w:rFonts w:hint="eastAsia" w:ascii="宋体" w:hAnsi="宋体" w:eastAsia="宋体" w:cs="宋体"/>
          <w:sz w:val="24"/>
          <w:szCs w:val="24"/>
        </w:rPr>
        <w:t>　　（四）保障网络数据安全。推进数据安全基础设施建设，增强通信网络、数据中心等关键基础设施安全韧性。建立健全数据分类分级保护制度，强化人工智</w:t>
      </w:r>
      <w:bookmarkStart w:id="0" w:name="_GoBack"/>
      <w:bookmarkEnd w:id="0"/>
      <w:r>
        <w:rPr>
          <w:rFonts w:hint="eastAsia" w:ascii="宋体" w:hAnsi="宋体" w:eastAsia="宋体" w:cs="宋体"/>
          <w:sz w:val="24"/>
          <w:szCs w:val="24"/>
        </w:rPr>
        <w:t>能应用的数据安全管理和隐私保护。健全网络与信息安全通报预警机制，开展常态化网络安全监测预警和通报处置，组织网络安全攻防演练，提升网络空间防护水平。（责任单位：盟委网信办，盟公安局、政数局等部门按职责分工负责）</w:t>
      </w:r>
    </w:p>
    <w:p w14:paraId="02A47BBC"/>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56"/>
        <w:gridCol w:w="555"/>
        <w:gridCol w:w="1012"/>
        <w:gridCol w:w="4332"/>
        <w:gridCol w:w="766"/>
        <w:gridCol w:w="742"/>
        <w:gridCol w:w="656"/>
      </w:tblGrid>
      <w:tr w14:paraId="06D7F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262" w:type="pct"/>
            <w:tcBorders>
              <w:top w:val="nil"/>
              <w:left w:val="nil"/>
              <w:bottom w:val="nil"/>
              <w:right w:val="nil"/>
            </w:tcBorders>
            <w:shd w:val="clear"/>
            <w:vAlign w:val="center"/>
          </w:tcPr>
          <w:p w14:paraId="78F1ED60">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附件</w:t>
            </w:r>
          </w:p>
        </w:tc>
        <w:tc>
          <w:tcPr>
            <w:tcW w:w="341" w:type="pct"/>
            <w:tcBorders>
              <w:top w:val="nil"/>
              <w:left w:val="nil"/>
              <w:bottom w:val="nil"/>
              <w:right w:val="nil"/>
            </w:tcBorders>
            <w:shd w:val="clear"/>
            <w:vAlign w:val="center"/>
          </w:tcPr>
          <w:p w14:paraId="46E1CE89">
            <w:pPr>
              <w:jc w:val="center"/>
              <w:rPr>
                <w:rFonts w:hint="eastAsia" w:ascii="黑体" w:hAnsi="宋体" w:eastAsia="黑体" w:cs="黑体"/>
                <w:i w:val="0"/>
                <w:iCs w:val="0"/>
                <w:color w:val="000000"/>
                <w:sz w:val="22"/>
                <w:szCs w:val="22"/>
                <w:u w:val="none"/>
              </w:rPr>
            </w:pPr>
          </w:p>
        </w:tc>
        <w:tc>
          <w:tcPr>
            <w:tcW w:w="609" w:type="pct"/>
            <w:tcBorders>
              <w:top w:val="nil"/>
              <w:left w:val="nil"/>
              <w:bottom w:val="nil"/>
              <w:right w:val="nil"/>
            </w:tcBorders>
            <w:shd w:val="clear"/>
            <w:vAlign w:val="center"/>
          </w:tcPr>
          <w:p w14:paraId="002C68C4">
            <w:pPr>
              <w:rPr>
                <w:rFonts w:hint="eastAsia" w:ascii="宋体" w:hAnsi="宋体" w:eastAsia="宋体" w:cs="宋体"/>
                <w:i w:val="0"/>
                <w:iCs w:val="0"/>
                <w:color w:val="000000"/>
                <w:sz w:val="22"/>
                <w:szCs w:val="22"/>
                <w:u w:val="none"/>
              </w:rPr>
            </w:pPr>
          </w:p>
        </w:tc>
        <w:tc>
          <w:tcPr>
            <w:tcW w:w="2558" w:type="pct"/>
            <w:tcBorders>
              <w:top w:val="nil"/>
              <w:left w:val="nil"/>
              <w:bottom w:val="nil"/>
              <w:right w:val="nil"/>
            </w:tcBorders>
            <w:shd w:val="clear"/>
            <w:vAlign w:val="center"/>
          </w:tcPr>
          <w:p w14:paraId="7699F6F4">
            <w:pPr>
              <w:rPr>
                <w:rFonts w:hint="eastAsia" w:ascii="宋体" w:hAnsi="宋体" w:eastAsia="宋体" w:cs="宋体"/>
                <w:i w:val="0"/>
                <w:iCs w:val="0"/>
                <w:color w:val="000000"/>
                <w:sz w:val="22"/>
                <w:szCs w:val="22"/>
                <w:u w:val="none"/>
              </w:rPr>
            </w:pPr>
          </w:p>
        </w:tc>
        <w:tc>
          <w:tcPr>
            <w:tcW w:w="385" w:type="pct"/>
            <w:tcBorders>
              <w:top w:val="nil"/>
              <w:left w:val="nil"/>
              <w:bottom w:val="nil"/>
              <w:right w:val="nil"/>
            </w:tcBorders>
            <w:shd w:val="clear"/>
            <w:vAlign w:val="center"/>
          </w:tcPr>
          <w:p w14:paraId="16E58409">
            <w:pPr>
              <w:jc w:val="center"/>
              <w:rPr>
                <w:rFonts w:hint="eastAsia" w:ascii="宋体" w:hAnsi="宋体" w:eastAsia="宋体" w:cs="宋体"/>
                <w:i w:val="0"/>
                <w:iCs w:val="0"/>
                <w:color w:val="000000"/>
                <w:sz w:val="22"/>
                <w:szCs w:val="22"/>
                <w:u w:val="none"/>
              </w:rPr>
            </w:pPr>
          </w:p>
        </w:tc>
        <w:tc>
          <w:tcPr>
            <w:tcW w:w="451" w:type="pct"/>
            <w:tcBorders>
              <w:top w:val="nil"/>
              <w:left w:val="nil"/>
              <w:bottom w:val="nil"/>
              <w:right w:val="nil"/>
            </w:tcBorders>
            <w:shd w:val="clear"/>
            <w:vAlign w:val="center"/>
          </w:tcPr>
          <w:p w14:paraId="4C7AF3B5">
            <w:pPr>
              <w:jc w:val="center"/>
              <w:rPr>
                <w:rFonts w:hint="eastAsia" w:ascii="宋体" w:hAnsi="宋体" w:eastAsia="宋体" w:cs="宋体"/>
                <w:i w:val="0"/>
                <w:iCs w:val="0"/>
                <w:color w:val="000000"/>
                <w:sz w:val="22"/>
                <w:szCs w:val="22"/>
                <w:u w:val="none"/>
              </w:rPr>
            </w:pPr>
          </w:p>
        </w:tc>
        <w:tc>
          <w:tcPr>
            <w:tcW w:w="390" w:type="pct"/>
            <w:tcBorders>
              <w:top w:val="nil"/>
              <w:left w:val="nil"/>
              <w:bottom w:val="nil"/>
              <w:right w:val="nil"/>
            </w:tcBorders>
            <w:shd w:val="clear"/>
            <w:vAlign w:val="center"/>
          </w:tcPr>
          <w:p w14:paraId="5BAFD96D">
            <w:pPr>
              <w:jc w:val="center"/>
              <w:rPr>
                <w:rFonts w:hint="eastAsia" w:ascii="宋体" w:hAnsi="宋体" w:eastAsia="宋体" w:cs="宋体"/>
                <w:i w:val="0"/>
                <w:iCs w:val="0"/>
                <w:color w:val="000000"/>
                <w:sz w:val="22"/>
                <w:szCs w:val="22"/>
                <w:u w:val="none"/>
              </w:rPr>
            </w:pPr>
          </w:p>
        </w:tc>
      </w:tr>
      <w:tr w14:paraId="01D2F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99" w:hRule="atLeast"/>
        </w:trPr>
        <w:tc>
          <w:tcPr>
            <w:tcW w:w="5000" w:type="pct"/>
            <w:gridSpan w:val="7"/>
            <w:tcBorders>
              <w:top w:val="nil"/>
              <w:left w:val="nil"/>
              <w:bottom w:val="single" w:color="000000" w:sz="4" w:space="0"/>
              <w:right w:val="single" w:color="000000" w:sz="4" w:space="0"/>
            </w:tcBorders>
            <w:shd w:val="clear"/>
            <w:vAlign w:val="center"/>
          </w:tcPr>
          <w:p w14:paraId="39FD7C0F">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default" w:ascii="方正小标宋简体" w:hAnsi="方正小标宋简体" w:eastAsia="方正小标宋简体" w:cs="方正小标宋简体"/>
                <w:i w:val="0"/>
                <w:iCs w:val="0"/>
                <w:color w:val="000000"/>
                <w:kern w:val="0"/>
                <w:sz w:val="36"/>
                <w:szCs w:val="36"/>
                <w:u w:val="none"/>
                <w:bdr w:val="none" w:color="auto" w:sz="0" w:space="0"/>
                <w:lang w:val="en-US" w:eastAsia="zh-CN" w:bidi="ar"/>
              </w:rPr>
              <w:t>《锡林郭勒盟人工智能赋能高质量发展实施方案（2026—2028年）》重点项目表</w:t>
            </w:r>
          </w:p>
        </w:tc>
      </w:tr>
      <w:tr w14:paraId="4BB95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10"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55FF7D3E">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序号</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14:paraId="62B406A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重点任务</w:t>
            </w: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18EB06FD">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项目名称</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35AFC1E3">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主要建设内容</w:t>
            </w:r>
          </w:p>
        </w:tc>
        <w:tc>
          <w:tcPr>
            <w:tcW w:w="385" w:type="pct"/>
            <w:tcBorders>
              <w:top w:val="single" w:color="000000" w:sz="4" w:space="0"/>
              <w:left w:val="single" w:color="000000" w:sz="4" w:space="0"/>
              <w:bottom w:val="single" w:color="000000" w:sz="4" w:space="0"/>
              <w:right w:val="single" w:color="000000" w:sz="4" w:space="0"/>
            </w:tcBorders>
            <w:shd w:val="clear"/>
            <w:vAlign w:val="center"/>
          </w:tcPr>
          <w:p w14:paraId="2D03F9B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总投资估算（万元）</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434FC7DE">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资金来源</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76E5B976">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责任单位</w:t>
            </w:r>
          </w:p>
        </w:tc>
      </w:tr>
      <w:tr w14:paraId="66F8A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75"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1DA60413">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14:paraId="220906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探索数字产品制造业</w:t>
            </w: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4D61E0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多场景AI数字人研发制造项目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65DFA3B9">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一是“智能辅助问答小智”语音机器人项目，重点完成语音交互核心技术的研发升级、硬件规模化生产与集成，搭建云端服务平台，实现政务、金融、电力行业等多场景定制化部署与智能服务。</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多场景AI数字人”系统项目，涵盖高仿真3D形象设计与内容制作、交互系统平台开发，以及硬件终端的定制化集成，应用于展厅、政务大厅、电力交易营业厅等场景，提供拟人化交互与内容展示。通过共享统一的AI技术与数据安全运维体系，形成具有自主知识产权的智能系列产品，打造区域性人工智能应用示范案例。</w:t>
            </w:r>
          </w:p>
        </w:tc>
        <w:tc>
          <w:tcPr>
            <w:tcW w:w="385" w:type="pct"/>
            <w:tcBorders>
              <w:top w:val="single" w:color="000000" w:sz="4" w:space="0"/>
              <w:left w:val="single" w:color="000000" w:sz="4" w:space="0"/>
              <w:bottom w:val="single" w:color="000000" w:sz="4" w:space="0"/>
              <w:right w:val="single" w:color="000000" w:sz="4" w:space="0"/>
            </w:tcBorders>
            <w:shd w:val="clear"/>
            <w:vAlign w:val="center"/>
          </w:tcPr>
          <w:p w14:paraId="71B1AB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260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0F8005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企业投资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26794D7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盟工信局</w:t>
            </w:r>
          </w:p>
        </w:tc>
      </w:tr>
      <w:tr w14:paraId="64032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75"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30BA1B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14:paraId="5ED334F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推动产业集聚发展</w:t>
            </w: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5A25D5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“人工智能+”应用展示中心项目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2F5EFD2F">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二连浩特口岸、珠恩嘎达布其口岸和锡林浩特市围绕优势特色产业，打造集“产业成果展示窗、AI赋能实验场、招商引资会客厅、科普教育新地标”于一体的综合性“人工智能+”应用展示中心，其中锡林浩特市侧重呈现区域经济与民生服务的智能化全景，两大口岸专注打造智慧物流、跨境电商、智能通关等“智慧口岸”主题示范场景，并配套建设可持续运营的技术支撑体系与内容更新机制，形成彰显区域特色、推动产业升级、集聚创新资源的区域性人工智能推广应用与展示窗口。</w:t>
            </w:r>
          </w:p>
        </w:tc>
        <w:tc>
          <w:tcPr>
            <w:tcW w:w="385" w:type="pct"/>
            <w:tcBorders>
              <w:top w:val="single" w:color="000000" w:sz="4" w:space="0"/>
              <w:left w:val="single" w:color="000000" w:sz="4" w:space="0"/>
              <w:bottom w:val="single" w:color="000000" w:sz="4" w:space="0"/>
              <w:right w:val="single" w:color="000000" w:sz="4" w:space="0"/>
            </w:tcBorders>
            <w:shd w:val="clear"/>
            <w:vAlign w:val="center"/>
          </w:tcPr>
          <w:p w14:paraId="679AA8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50E737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企业投资+政府投资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1CBDF8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锡林浩特市、二连浩特市、东乌珠穆沁旗人民政府</w:t>
            </w:r>
          </w:p>
        </w:tc>
      </w:tr>
      <w:tr w14:paraId="1588E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95"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07F598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w:t>
            </w:r>
          </w:p>
        </w:tc>
        <w:tc>
          <w:tcPr>
            <w:tcW w:w="341" w:type="pct"/>
            <w:vMerge w:val="restart"/>
            <w:tcBorders>
              <w:top w:val="single" w:color="000000" w:sz="4" w:space="0"/>
              <w:left w:val="single" w:color="000000" w:sz="4" w:space="0"/>
              <w:bottom w:val="single" w:color="000000" w:sz="4" w:space="0"/>
              <w:right w:val="single" w:color="000000" w:sz="4" w:space="0"/>
            </w:tcBorders>
            <w:shd w:val="clear"/>
            <w:vAlign w:val="center"/>
          </w:tcPr>
          <w:p w14:paraId="029DB4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赋能产业升级</w:t>
            </w: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248FC6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人工智能+电网项目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20CB4D9C">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一是电力设备状态评价与智能运维。部署设备状态智能感知与预警、设备故障智能定位与诊断、设备状态检修智能决策、设备灾害风险智能预测等应用，提升设备智能化管理水平。</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二是配电网智能运行管理。部署配电网实时感知、风险分析、智能决策等技术应用，全面提升配电网智慧控制能力和供电可靠性，加强配电网层面源网荷储协同调控。</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三是电力应急抢修。部署电力系统灾害风险智能预警、损毁情况智能分析、应急方案智能决策等辅助决策系统，推进电力应急抢修技术装备智能化应用，提升电力系统防灾减灾救灾能力。</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5E7A0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6500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6D7048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企业投资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5968B1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盟能源局</w:t>
            </w:r>
          </w:p>
        </w:tc>
      </w:tr>
      <w:tr w14:paraId="0D464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0"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372D21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4</w:t>
            </w:r>
          </w:p>
        </w:tc>
        <w:tc>
          <w:tcPr>
            <w:tcW w:w="34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EEB3226">
            <w:pPr>
              <w:jc w:val="center"/>
              <w:rPr>
                <w:rFonts w:hint="eastAsia" w:ascii="仿宋" w:hAnsi="仿宋" w:eastAsia="仿宋" w:cs="仿宋"/>
                <w:i w:val="0"/>
                <w:iCs w:val="0"/>
                <w:color w:val="000000"/>
                <w:sz w:val="22"/>
                <w:szCs w:val="22"/>
                <w:u w:val="none"/>
              </w:rPr>
            </w:pP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6750FF5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人工智能+能源新业态项目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5F45452C">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园区智能降碳协同控制系统。基于光伏、储能等设备运行数据，实时动态优化能源调度策略，结合电价与碳排放因子自动调节空调温度、充电桩功率及设备启停时序，通过增强现实可视化界面和语音助手向用户推送个性化节能建议，形成“碳－能－费”智能协同模式。</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新型储能智能化运行。针对新型储能动态适配电力系统调度、广域协同互动、弱电网支撑、电池装备安全监测、设备本体评估与运维等，通过人工智能技术，提升面向弱电网的多类型储能协调控制能力，建设新能源与配建新型储能广域协同优化控制、储能电站智能评估、智慧运维决策支持、全生命周期安全等应用体系，提升系统友好型新能源电站的电力供应保障能力。</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2DD97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12CC76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企业投资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7BA58D7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盟能源局</w:t>
            </w:r>
          </w:p>
        </w:tc>
      </w:tr>
      <w:tr w14:paraId="6562B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5"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5DC3453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w:t>
            </w:r>
          </w:p>
        </w:tc>
        <w:tc>
          <w:tcPr>
            <w:tcW w:w="34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43254FE">
            <w:pPr>
              <w:jc w:val="center"/>
              <w:rPr>
                <w:rFonts w:hint="eastAsia" w:ascii="仿宋" w:hAnsi="仿宋" w:eastAsia="仿宋" w:cs="仿宋"/>
                <w:i w:val="0"/>
                <w:iCs w:val="0"/>
                <w:color w:val="000000"/>
                <w:sz w:val="22"/>
                <w:szCs w:val="22"/>
                <w:u w:val="none"/>
              </w:rPr>
            </w:pP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67FD95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人工智能+新能源项目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2974385A">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一是气象预报与新能源功率精准预测。建立以多时空尺度气象预报为核心的气象服务体系，利用气象－功率非线性关系精准挖掘与解析的多场景多周期算法大模型，实现新能源功率精准预测。</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偏远地区场站智能运维。利用大模型、声纹检测、遥感、机器人、智能穿戴设备等技术装备，实时监测周边环境及设备运行状态，实现无人机智能控制等多系统智能联动，提升设备巡检效率，提高场站的综合运营效率。</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三是智慧工地。推动人工智能技术深度融入工程建设方案选择、人员管理、风险预警、工期管控等电力建设工程全流程管理。</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0911F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4F75B7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企业投资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6BED8A0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盟能源局</w:t>
            </w:r>
          </w:p>
        </w:tc>
      </w:tr>
      <w:tr w14:paraId="798BB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5"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3CC52B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6</w:t>
            </w:r>
          </w:p>
        </w:tc>
        <w:tc>
          <w:tcPr>
            <w:tcW w:w="341" w:type="pct"/>
            <w:vMerge w:val="restart"/>
            <w:tcBorders>
              <w:top w:val="single" w:color="000000" w:sz="4" w:space="0"/>
              <w:left w:val="single" w:color="000000" w:sz="4" w:space="0"/>
              <w:bottom w:val="single" w:color="000000" w:sz="4" w:space="0"/>
              <w:right w:val="single" w:color="000000" w:sz="4" w:space="0"/>
            </w:tcBorders>
            <w:shd w:val="clear"/>
            <w:vAlign w:val="center"/>
          </w:tcPr>
          <w:p w14:paraId="32808A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赋能产业升级</w:t>
            </w: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7E26DC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人工智能+火电项目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11E270EC">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一是燃料智能管控。基于燃料市场价格波动、库存量、耗煤量以及煤堆三维结构、煤质分析等多维度多类型数据，采用先进传感、图像识别、规则理解等技术，实现燃料数量、质量等智能检测和智能管控。</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二是生产运行优化。基于大模型和生产运营相关系统数据，实现生产运营过程中燃料掺配、运行优化、智能灵活调峰、安全智能管控等核心业务场景智能化升级，提升生产运营的智能化水平和效率。</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三是设备全生命周期管理。应用人工智能技术，通过对汽轮机（含燃气轮机）、发电机、锅炉受热面等关键设备多类型数据进行实时状态监测，实现设备状态全景监测、健康量化评估、隐患识别与故障预警、剩余寿命预测、运行方案调整、异常分析判断和隐患闭环管理。</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349DA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05A816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企业投资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3BEED3B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盟能源局</w:t>
            </w:r>
          </w:p>
        </w:tc>
      </w:tr>
      <w:tr w14:paraId="56248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0"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23CA0F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7</w:t>
            </w:r>
          </w:p>
        </w:tc>
        <w:tc>
          <w:tcPr>
            <w:tcW w:w="34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04A7782">
            <w:pPr>
              <w:jc w:val="center"/>
              <w:rPr>
                <w:rFonts w:hint="eastAsia" w:ascii="仿宋" w:hAnsi="仿宋" w:eastAsia="仿宋" w:cs="仿宋"/>
                <w:i w:val="0"/>
                <w:iCs w:val="0"/>
                <w:color w:val="000000"/>
                <w:sz w:val="22"/>
                <w:szCs w:val="22"/>
                <w:u w:val="none"/>
              </w:rPr>
            </w:pP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066C04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人工智能+煤矿项目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29127939">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露天煤矿自主采装与运输无人化。推进大模型模拟爆破参数与穿爆作业的融合，应用人工智能技术快速解析采剥进度，实现采－运－排生产系统内挖掘机、排土推土机以及其他辅助作业设备常态化远控或自主作业，以及矿用卡车无人驾驶规模化运行，提升穿爆智能化程度和精准度，大幅减少坑下作业人员数量，提升露天煤矿生产效率与安全水平。</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二是煤炭质量快速检测与智能洗选。推广利用煤炭洗选专业模型，实现煤炭洗选全过程的信息动态监测、趋势预测及协同管理。</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三是煤矿重大设备状态监测和智能运维。推广利用重大设备实时运行状态和润滑、温震等检测数据融合大模型，实现故障诊断和智能预警，推动煤矿设备预防性检修，降低故障影响生产时间，有效降低维护成本。</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541F0C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498408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企业投资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287861A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盟能源局</w:t>
            </w:r>
          </w:p>
        </w:tc>
      </w:tr>
      <w:tr w14:paraId="1FA06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15"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53334B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8</w:t>
            </w:r>
          </w:p>
        </w:tc>
        <w:tc>
          <w:tcPr>
            <w:tcW w:w="34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51B7568">
            <w:pPr>
              <w:jc w:val="center"/>
              <w:rPr>
                <w:rFonts w:hint="eastAsia" w:ascii="仿宋" w:hAnsi="仿宋" w:eastAsia="仿宋" w:cs="仿宋"/>
                <w:i w:val="0"/>
                <w:iCs w:val="0"/>
                <w:color w:val="000000"/>
                <w:sz w:val="22"/>
                <w:szCs w:val="22"/>
                <w:u w:val="none"/>
              </w:rPr>
            </w:pP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2A8955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人工智能+油气项目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4A4A2E66">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油气勘探智能赋能。推广利用面向地震测井处理解释的专业大模型，提升地震、测井、岩心露头等勘探专业领域的智能化作业水平，部署面向有利地质目标综合评价的智能应用系统，实现可控震源智能辅助驾驶、地震检波器埋置等机器人示范应用。</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二是油气藏开发与生产智能管控。推广利用油气开发数据与知识智能化技术、智能开发优化软件和专业大模型，部署大模型驱动的生产管理决策平台，构建智慧油气田开发生产管控的新模式。</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三是工程技术智能优化。推进地面工程智能设计、钻井参数智能优化、录井实时智能判层、储层改造及智能故障诊断与风险评估。</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334B4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6D152A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企业投资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0A763E3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盟能源局</w:t>
            </w:r>
          </w:p>
        </w:tc>
      </w:tr>
      <w:tr w14:paraId="1EF02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80"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67F231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w:t>
            </w:r>
          </w:p>
        </w:tc>
        <w:tc>
          <w:tcPr>
            <w:tcW w:w="341" w:type="pct"/>
            <w:vMerge w:val="restart"/>
            <w:tcBorders>
              <w:top w:val="single" w:color="000000" w:sz="4" w:space="0"/>
              <w:left w:val="single" w:color="000000" w:sz="4" w:space="0"/>
              <w:bottom w:val="single" w:color="000000" w:sz="4" w:space="0"/>
              <w:right w:val="single" w:color="000000" w:sz="4" w:space="0"/>
            </w:tcBorders>
            <w:shd w:val="clear"/>
            <w:vAlign w:val="center"/>
          </w:tcPr>
          <w:p w14:paraId="4281756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赋能产业升级</w:t>
            </w: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642BED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矿山智能化项目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22A7275F">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智慧车间与智控中心一体化建设。建设集生产全流程自动化控制与全域安全智能管控于一体的矿山运营中枢，部署车间生产数据采集与处理平台，实现对碎矿、磨矿、浮选等核心工艺的自动化控制以及智能取样机器人的集中监控与协同优化。</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覆盖车间与井下的全方位AI安全生产管理系统。通过视频智能分析，实现对人员违章行为、设备运行状态及环境风险24小时自动识别与预警，在井下重点设备设施区域与作业区域布设智能监管设备，全面提升生产效率、安全水平与决策能力。</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27D8E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5B74C56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企业投资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70B75D4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盟工信局</w:t>
            </w:r>
          </w:p>
        </w:tc>
      </w:tr>
      <w:tr w14:paraId="60656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10"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707300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10</w:t>
            </w:r>
          </w:p>
        </w:tc>
        <w:tc>
          <w:tcPr>
            <w:tcW w:w="34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85385FA">
            <w:pPr>
              <w:jc w:val="center"/>
              <w:rPr>
                <w:rFonts w:hint="eastAsia" w:ascii="仿宋" w:hAnsi="仿宋" w:eastAsia="仿宋" w:cs="仿宋"/>
                <w:i w:val="0"/>
                <w:iCs w:val="0"/>
                <w:color w:val="000000"/>
                <w:sz w:val="22"/>
                <w:szCs w:val="22"/>
                <w:u w:val="none"/>
              </w:rPr>
            </w:pP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61ACCD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人工智能+草原畜牧业示范项目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3A771AED">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智慧牧场建设。推广AI智能项圈/耳标、无人机放牧等，实现草畜平衡监测、精准饲喂指导。部署AI摄像头与传感器，利用计算机视觉技术实时监控牲畜的行为与健康状态，识别早期疾病症状并发出警报，降低死亡率。</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牛羊数字化交易平台。实现牲畜信息的共享与精准匹配，降低交易成本，提高市场效率；将活畜通过大数据评估转化为金融资产，解决资金短缺问题，支持规模化养殖发展；利用网络营销和数字化手段，打造“网红牧场”品牌，拓宽销路，提高附加值。</w:t>
            </w:r>
          </w:p>
        </w:tc>
        <w:tc>
          <w:tcPr>
            <w:tcW w:w="385" w:type="pct"/>
            <w:tcBorders>
              <w:top w:val="single" w:color="000000" w:sz="4" w:space="0"/>
              <w:left w:val="single" w:color="000000" w:sz="4" w:space="0"/>
              <w:bottom w:val="single" w:color="000000" w:sz="4" w:space="0"/>
              <w:right w:val="single" w:color="000000" w:sz="4" w:space="0"/>
            </w:tcBorders>
            <w:shd w:val="clear"/>
            <w:vAlign w:val="center"/>
          </w:tcPr>
          <w:p w14:paraId="589CA8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6F12AF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企业投资+政府投资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17584DB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盟农牧局、林草局、</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品牌中心</w:t>
            </w:r>
          </w:p>
        </w:tc>
      </w:tr>
      <w:tr w14:paraId="52B7D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25"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17B333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11</w:t>
            </w:r>
          </w:p>
        </w:tc>
        <w:tc>
          <w:tcPr>
            <w:tcW w:w="34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A6C6E5C">
            <w:pPr>
              <w:jc w:val="center"/>
              <w:rPr>
                <w:rFonts w:hint="eastAsia" w:ascii="仿宋" w:hAnsi="仿宋" w:eastAsia="仿宋" w:cs="仿宋"/>
                <w:i w:val="0"/>
                <w:iCs w:val="0"/>
                <w:color w:val="000000"/>
                <w:sz w:val="22"/>
                <w:szCs w:val="22"/>
                <w:u w:val="none"/>
              </w:rPr>
            </w:pP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5263201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农牧业产业数据智能融合示范项目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5C8D974A">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通过在规模化养殖场与种植区部署传感器、无人设备及智能摄像头，全面开展环境、生产、生长及健康等多维数据采集，实现实时监测与动态感知。推进数据治理体系建设，完成数据清洗、标注、存储与标准化管理，夯实高质量数据基础，同步构建肉牛体况识别、疫病风险预警及农作物长势、病虫害智能检测模型，实现精准识别、实时监测与自动化预警。</w:t>
            </w:r>
          </w:p>
        </w:tc>
        <w:tc>
          <w:tcPr>
            <w:tcW w:w="385" w:type="pct"/>
            <w:tcBorders>
              <w:top w:val="single" w:color="000000" w:sz="4" w:space="0"/>
              <w:left w:val="single" w:color="000000" w:sz="4" w:space="0"/>
              <w:bottom w:val="single" w:color="000000" w:sz="4" w:space="0"/>
              <w:right w:val="single" w:color="000000" w:sz="4" w:space="0"/>
            </w:tcBorders>
            <w:shd w:val="clear"/>
            <w:vAlign w:val="center"/>
          </w:tcPr>
          <w:p w14:paraId="0ECA7F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7BDA44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企业投资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0614FC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盟农牧局、科技局</w:t>
            </w:r>
          </w:p>
        </w:tc>
      </w:tr>
      <w:tr w14:paraId="47E45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35"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635EAD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12</w:t>
            </w:r>
          </w:p>
        </w:tc>
        <w:tc>
          <w:tcPr>
            <w:tcW w:w="341" w:type="pct"/>
            <w:tcBorders>
              <w:top w:val="single" w:color="000000" w:sz="4" w:space="0"/>
              <w:left w:val="single" w:color="000000" w:sz="4" w:space="0"/>
              <w:bottom w:val="nil"/>
              <w:right w:val="single" w:color="000000" w:sz="4" w:space="0"/>
            </w:tcBorders>
            <w:shd w:val="clear"/>
            <w:vAlign w:val="center"/>
          </w:tcPr>
          <w:p w14:paraId="649F80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赋能产业升级</w:t>
            </w: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486F5C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低空经济大数据及信息服务平台项目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656A5430">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基于锡林郭勒盟低空经济产业基地建设，打造集低空飞行数据、基础设施数据及产业数据为一体的低空经济产业大数据及信息服务平台，平台数据信息系统与全国性数据信息系统互通互联，实时获取国内外产业、厂商、项目、市场等行业发展数据以及本地区低空飞行活动与产业发展数据，为政府相关管理部门、基地及企业提供数据及信息支持服务。通过大数据信息系统对外发布锡林郭勒盟低空经济产业基地低空经济产业的发展数据、产业服务信息及招商信息，促进对外招商和产业合作。</w:t>
            </w:r>
          </w:p>
        </w:tc>
        <w:tc>
          <w:tcPr>
            <w:tcW w:w="385" w:type="pct"/>
            <w:tcBorders>
              <w:top w:val="single" w:color="000000" w:sz="4" w:space="0"/>
              <w:left w:val="single" w:color="000000" w:sz="4" w:space="0"/>
              <w:bottom w:val="single" w:color="000000" w:sz="4" w:space="0"/>
              <w:right w:val="single" w:color="000000" w:sz="4" w:space="0"/>
            </w:tcBorders>
            <w:shd w:val="clear"/>
            <w:vAlign w:val="center"/>
          </w:tcPr>
          <w:p w14:paraId="276A9B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267D3F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企业投资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2F0705A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盟发改委</w:t>
            </w:r>
          </w:p>
        </w:tc>
      </w:tr>
      <w:tr w14:paraId="5FE2C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0"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649E192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13</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14:paraId="2B0288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赋能消费提质</w:t>
            </w: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4DD6411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智慧文旅生态体系建设项目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260D8B7B">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一是智慧文旅平台。利用AI大模型技术，实现智能化的旅游管理和精准营销引流，提供“金牌解说”等特色服务，提升游客在预约、咨询、导览等环节的效率与满意度。</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智慧草原文化旅游示范景区。利用5G、AR/VR等技术，对锡林浩特市、西乌珠穆沁旗、正蓝旗、多伦县、乌拉盖管理区等地的旅游休闲景区进行数字化升级。通过AR技术重现元上都遗址等重要历史文化遗址，让游客在手机上看到古代蒙古族的游牧生活场景和历史建筑，实现“古今对话”。在重点景区建设AI导览机器人和语音导览系统，利用大模型技术为游客提供个性化的讲解与咨询服务。</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三是智慧景区管理与安防。引进智能物联技术，对草原旅游道路、草原旅游区进行数字孪生监控。通过AI技术加强对草原生态环境的实时监测与保护，利用人脸识别、行为分析等技术提升景区的安全管理水平。</w:t>
            </w:r>
          </w:p>
        </w:tc>
        <w:tc>
          <w:tcPr>
            <w:tcW w:w="385" w:type="pct"/>
            <w:tcBorders>
              <w:top w:val="single" w:color="000000" w:sz="4" w:space="0"/>
              <w:left w:val="single" w:color="000000" w:sz="4" w:space="0"/>
              <w:bottom w:val="single" w:color="000000" w:sz="4" w:space="0"/>
              <w:right w:val="single" w:color="000000" w:sz="4" w:space="0"/>
            </w:tcBorders>
            <w:shd w:val="clear"/>
            <w:vAlign w:val="center"/>
          </w:tcPr>
          <w:p w14:paraId="262E48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2856AB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企业投资+政府投资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597BD3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盟文体旅游广电局，锡林浩特市、西乌珠穆沁旗、正蓝旗、多伦县、乌拉盖管理区人民政府（管委会）</w:t>
            </w:r>
          </w:p>
        </w:tc>
      </w:tr>
      <w:tr w14:paraId="1A32C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75"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7DCC855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14</w:t>
            </w:r>
          </w:p>
        </w:tc>
        <w:tc>
          <w:tcPr>
            <w:tcW w:w="341" w:type="pct"/>
            <w:vMerge w:val="restart"/>
            <w:tcBorders>
              <w:top w:val="single" w:color="000000" w:sz="4" w:space="0"/>
              <w:left w:val="single" w:color="000000" w:sz="4" w:space="0"/>
              <w:bottom w:val="single" w:color="000000" w:sz="4" w:space="0"/>
              <w:right w:val="single" w:color="000000" w:sz="4" w:space="0"/>
            </w:tcBorders>
            <w:shd w:val="clear"/>
            <w:vAlign w:val="center"/>
          </w:tcPr>
          <w:p w14:paraId="3DA8FB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赋能公共服务</w:t>
            </w: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488639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人工智能+医疗协同项目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546E41C8">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AI智能导诊与分流中心建设。在锡林郭勒盟中心医院等重点医院的门诊大厅部署AI导诊机器人，利用语音识别和自然语言处理技术，为患者提供24小时不间断的智能导诊、分流、导航服务。同时，构建基于AI的急诊分流系统，通过对患者症状的快速判别，将危急重症患者快速导入急诊绿色通道，有效缓解现场排队压力。</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二是远程诊疗与AI影像诊断平台。依托现有互联网医院建设基础，建设高可靠性的远程会诊网络，引进AI医学影像识别系统，对X光片、CT、MRI等医学影像进行自动分析与病灶标注，实现“疑难杂症一键转诊”。</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三是疾病预测与健康管理大数据平台。整合全盟各级医院、体检中心和公共卫生机构健康数据，利用大数据分析和机器学习算法建立疾病风险预测模型。重点针对高血压、糖尿病、心血管疾病等慢性病进行风险预警，推动实现“头疼脑热在家门口解决”。同时，为中老年人群提供基于AI的健康管理服务，包括个性化的营养建议、运动处方和药物管理。</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四是蒙医药AI赋能与科研创新。发挥蒙医药资源优势，建设蒙医药AI辅助诊疗系统。通过深度学习技术对蒙医药方剂进行结构化解析，建立蒙医药知识库，辅助医生进行诊疗和研究。</w:t>
            </w:r>
          </w:p>
        </w:tc>
        <w:tc>
          <w:tcPr>
            <w:tcW w:w="385" w:type="pct"/>
            <w:tcBorders>
              <w:top w:val="single" w:color="000000" w:sz="4" w:space="0"/>
              <w:left w:val="single" w:color="000000" w:sz="4" w:space="0"/>
              <w:bottom w:val="single" w:color="000000" w:sz="4" w:space="0"/>
              <w:right w:val="single" w:color="000000" w:sz="4" w:space="0"/>
            </w:tcBorders>
            <w:shd w:val="clear"/>
            <w:vAlign w:val="center"/>
          </w:tcPr>
          <w:p w14:paraId="4F3455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1DB8351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政府投资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617DC0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盟卫健委</w:t>
            </w:r>
          </w:p>
        </w:tc>
      </w:tr>
      <w:tr w14:paraId="26430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10"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165B2D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15</w:t>
            </w:r>
          </w:p>
        </w:tc>
        <w:tc>
          <w:tcPr>
            <w:tcW w:w="34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B95C654">
            <w:pPr>
              <w:jc w:val="center"/>
              <w:rPr>
                <w:rFonts w:hint="eastAsia" w:ascii="仿宋" w:hAnsi="仿宋" w:eastAsia="仿宋" w:cs="仿宋"/>
                <w:i w:val="0"/>
                <w:iCs w:val="0"/>
                <w:color w:val="000000"/>
                <w:sz w:val="22"/>
                <w:szCs w:val="22"/>
                <w:u w:val="none"/>
              </w:rPr>
            </w:pP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34DA75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全盟AI赋能课堂教学大模型和课堂循证教室建设项目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2DB68C9F">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Style w:val="6"/>
                <w:bdr w:val="none" w:color="auto" w:sz="0" w:space="0"/>
                <w:lang w:val="en-US" w:eastAsia="zh-CN" w:bidi="ar"/>
              </w:rPr>
              <w:t xml:space="preserve">    一是构建教育智能体。</w:t>
            </w:r>
            <w:r>
              <w:rPr>
                <w:rStyle w:val="7"/>
                <w:bdr w:val="none" w:color="auto" w:sz="0" w:space="0"/>
                <w:lang w:val="en-US" w:eastAsia="zh-CN" w:bidi="ar"/>
              </w:rPr>
              <w:t>利用deepseek大模型，建设教育智能体，供全盟中小学幼儿园教师使用，使教师更精准地利用人工智能工具开展教育教学、命题评价、教育管理等工作，以改进课堂教学、促进学生学习、提高教育教学质量。</w:t>
            </w:r>
            <w:r>
              <w:rPr>
                <w:rStyle w:val="7"/>
                <w:bdr w:val="none" w:color="auto" w:sz="0" w:space="0"/>
                <w:lang w:val="en-US" w:eastAsia="zh-CN" w:bidi="ar"/>
              </w:rPr>
              <w:br w:type="textWrapping"/>
            </w:r>
            <w:r>
              <w:rPr>
                <w:rStyle w:val="7"/>
                <w:bdr w:val="none" w:color="auto" w:sz="0" w:space="0"/>
                <w:lang w:val="en-US" w:eastAsia="zh-CN" w:bidi="ar"/>
              </w:rPr>
              <w:t xml:space="preserve">    二是建设中小学AI循证教室。在全盟43所初中、高中学校，67所小学，每所学校建设1个AI循证教室。对教学设计、教学内容、教师教学行为、学生学习行为、教学目标达成度等进行有效分析并形成报告，为改进课堂教学和提升教师教学能力提供循证依据和改进建议。</w:t>
            </w:r>
          </w:p>
        </w:tc>
        <w:tc>
          <w:tcPr>
            <w:tcW w:w="385" w:type="pct"/>
            <w:tcBorders>
              <w:top w:val="single" w:color="000000" w:sz="4" w:space="0"/>
              <w:left w:val="single" w:color="000000" w:sz="4" w:space="0"/>
              <w:bottom w:val="single" w:color="000000" w:sz="4" w:space="0"/>
              <w:right w:val="single" w:color="000000" w:sz="4" w:space="0"/>
            </w:tcBorders>
            <w:shd w:val="clear"/>
            <w:vAlign w:val="center"/>
          </w:tcPr>
          <w:p w14:paraId="711610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7C8EF6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政府投资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0A2CA9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盟教育局</w:t>
            </w:r>
          </w:p>
        </w:tc>
      </w:tr>
      <w:tr w14:paraId="786E9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85"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3A77B1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16</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14:paraId="79C87A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赋能公共服务</w:t>
            </w: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071D74B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人工智能+政务服务智慧升级项目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313FD3FC">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全盟统一的“AI政务大脑”。实现“一网统管”，打破地域壁垒，解决传统政务服务在跨域审批、数据孤岛和响应速度慢等痛点，支撑政务智能问答、自动化审批和政策推荐等核心功能，进一步巩固“锡心服务”营商环境品牌地位。</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二是AI智能客服与“一站式”服务平台。在现有的“蒙速办”和12345热线平台基础上，建设AI智能客服系统，通过语音识别和自然语言处理技术，实现“懂你所需”的服务体验。</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三是招投标AI辅助系统。实现招标文件智能编制与合规检测、投标文件辅助评审。应用大模型开展智能辅助评标，压缩专家自由裁量权；构建围串标识别模型，穿透挖掘隐蔽线索。</w:t>
            </w:r>
          </w:p>
        </w:tc>
        <w:tc>
          <w:tcPr>
            <w:tcW w:w="385" w:type="pct"/>
            <w:tcBorders>
              <w:top w:val="single" w:color="000000" w:sz="4" w:space="0"/>
              <w:left w:val="single" w:color="000000" w:sz="4" w:space="0"/>
              <w:bottom w:val="single" w:color="000000" w:sz="4" w:space="0"/>
              <w:right w:val="single" w:color="000000" w:sz="4" w:space="0"/>
            </w:tcBorders>
            <w:shd w:val="clear"/>
            <w:vAlign w:val="center"/>
          </w:tcPr>
          <w:p w14:paraId="42E01B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5AA488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政府投资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0D012A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盟政数局、发改委、财政局、公共资源交易中心</w:t>
            </w:r>
          </w:p>
        </w:tc>
      </w:tr>
      <w:tr w14:paraId="75A77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10"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77463E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17</w:t>
            </w:r>
          </w:p>
        </w:tc>
        <w:tc>
          <w:tcPr>
            <w:tcW w:w="341" w:type="pct"/>
            <w:vMerge w:val="restart"/>
            <w:tcBorders>
              <w:top w:val="single" w:color="000000" w:sz="4" w:space="0"/>
              <w:left w:val="single" w:color="000000" w:sz="4" w:space="0"/>
              <w:bottom w:val="single" w:color="000000" w:sz="4" w:space="0"/>
              <w:right w:val="single" w:color="000000" w:sz="4" w:space="0"/>
            </w:tcBorders>
            <w:shd w:val="clear"/>
            <w:vAlign w:val="center"/>
          </w:tcPr>
          <w:p w14:paraId="01B69B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赋能社会治理</w:t>
            </w: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190C52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智慧生态环境治理项目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163AD274">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全域生态环境感知与监测网络。利用物联网传感器、卫星遥感与人工智能大数据平台，构建覆盖全盟的草原、沙地、水源及大气环境实时感知系统。通过AI算法，对草原退化程度、沙地蔓延趋势进行动态监测，建设“看得见、测得准、预警快”的治理体系。</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二是智能化沙地治理与草原修复。结合浑善达克沙地歼灭战，引入AI路径规划与无人机技术，实现大面积精准播种和覆盖，优化生态要素配置，实现沙地治理的机械化、智能化和精准化。</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三是构建智慧执法与预警系统。基于AI技术，建立草原防风固沙生态屏障功能区智能预警系统，利用机器学习模型识别异常监测数据和违规行为，及时预警和干预，保障生态红线内的资源安全。</w:t>
            </w:r>
          </w:p>
        </w:tc>
        <w:tc>
          <w:tcPr>
            <w:tcW w:w="385" w:type="pct"/>
            <w:tcBorders>
              <w:top w:val="single" w:color="000000" w:sz="4" w:space="0"/>
              <w:left w:val="single" w:color="000000" w:sz="4" w:space="0"/>
              <w:bottom w:val="single" w:color="000000" w:sz="4" w:space="0"/>
              <w:right w:val="single" w:color="000000" w:sz="4" w:space="0"/>
            </w:tcBorders>
            <w:shd w:val="clear"/>
            <w:vAlign w:val="center"/>
          </w:tcPr>
          <w:p w14:paraId="56CAA9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00A2FC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企业投资+政府投资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4CF0AC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盟生态环境局、林草局</w:t>
            </w:r>
          </w:p>
        </w:tc>
      </w:tr>
      <w:tr w14:paraId="3D1BB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3A2976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18</w:t>
            </w:r>
          </w:p>
        </w:tc>
        <w:tc>
          <w:tcPr>
            <w:tcW w:w="34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3F84BE9">
            <w:pPr>
              <w:jc w:val="center"/>
              <w:rPr>
                <w:rFonts w:hint="eastAsia" w:ascii="仿宋" w:hAnsi="仿宋" w:eastAsia="仿宋" w:cs="仿宋"/>
                <w:i w:val="0"/>
                <w:iCs w:val="0"/>
                <w:color w:val="000000"/>
                <w:sz w:val="22"/>
                <w:szCs w:val="22"/>
                <w:u w:val="none"/>
              </w:rPr>
            </w:pP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54B943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“AI+智慧公安”综合治理项目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78C890A6">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一是智能感知体系升级改造。充分利用现有的摄像头与传感器网络，建设AI算法库，对视频图像进行实时分析。通过AI模型分析公共场所人流密度、聚集行为及异常动作，实现对群体性事件的早期发现与预警。</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智慧大脑与大数据融合。深化公安云建设，通过大数据平台智能感知能力，支撑警务决策与实战应用。部署智能化决策辅助系统，利用AR/VR技术进行场景模拟。实时展示全盟治安态势、重点人员位置与流动轨迹，提高指挥调度的效率与精准度。</w:t>
            </w:r>
          </w:p>
        </w:tc>
        <w:tc>
          <w:tcPr>
            <w:tcW w:w="385" w:type="pct"/>
            <w:tcBorders>
              <w:top w:val="single" w:color="000000" w:sz="4" w:space="0"/>
              <w:left w:val="single" w:color="000000" w:sz="4" w:space="0"/>
              <w:bottom w:val="single" w:color="000000" w:sz="4" w:space="0"/>
              <w:right w:val="single" w:color="000000" w:sz="4" w:space="0"/>
            </w:tcBorders>
            <w:shd w:val="clear"/>
            <w:vAlign w:val="center"/>
          </w:tcPr>
          <w:p w14:paraId="5E65BC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2B885B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政府投资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6A87B9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盟公安局</w:t>
            </w:r>
          </w:p>
        </w:tc>
      </w:tr>
      <w:tr w14:paraId="28247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0"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0C7398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19</w:t>
            </w:r>
          </w:p>
        </w:tc>
        <w:tc>
          <w:tcPr>
            <w:tcW w:w="341" w:type="pct"/>
            <w:vMerge w:val="restart"/>
            <w:tcBorders>
              <w:top w:val="single" w:color="000000" w:sz="4" w:space="0"/>
              <w:left w:val="single" w:color="000000" w:sz="4" w:space="0"/>
              <w:bottom w:val="single" w:color="000000" w:sz="4" w:space="0"/>
              <w:right w:val="single" w:color="000000" w:sz="4" w:space="0"/>
            </w:tcBorders>
            <w:shd w:val="clear"/>
            <w:vAlign w:val="center"/>
          </w:tcPr>
          <w:p w14:paraId="0F9D01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赋能社会治理</w:t>
            </w: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607B39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人工智能+气象智慧服务项目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1629C740">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一是智能观测与精细预报基座。升级天地空一体化智能协同观测网络，融合5G+边缘计算，建设高质量气象数据集。</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沙戈荒”风电智慧服务系统。研发基于物理知识与机器学习融合模型的风能数值预报系统，集成多尺度尾流与大气环境效应算法，提供风电场“规划设计—生产调度—交易决策—运行维护”全链条气象保障。</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三是草原畜牧业与生态气象智能体。构建干旱、雪灾逐日定灾评估模型，为牛、羊政策性保险理赔提供自动化、标准化依据。</w:t>
            </w:r>
          </w:p>
        </w:tc>
        <w:tc>
          <w:tcPr>
            <w:tcW w:w="385" w:type="pct"/>
            <w:tcBorders>
              <w:top w:val="single" w:color="000000" w:sz="4" w:space="0"/>
              <w:left w:val="single" w:color="000000" w:sz="4" w:space="0"/>
              <w:bottom w:val="single" w:color="000000" w:sz="4" w:space="0"/>
              <w:right w:val="single" w:color="000000" w:sz="4" w:space="0"/>
            </w:tcBorders>
            <w:shd w:val="clear"/>
            <w:vAlign w:val="center"/>
          </w:tcPr>
          <w:p w14:paraId="6BFB1B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37B8719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企业投资+政府投资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322090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盟气象局</w:t>
            </w:r>
          </w:p>
        </w:tc>
      </w:tr>
      <w:tr w14:paraId="04439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95"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2AF44E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20</w:t>
            </w:r>
          </w:p>
        </w:tc>
        <w:tc>
          <w:tcPr>
            <w:tcW w:w="34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C0E10A5">
            <w:pPr>
              <w:jc w:val="center"/>
              <w:rPr>
                <w:rFonts w:hint="eastAsia" w:ascii="仿宋" w:hAnsi="仿宋" w:eastAsia="仿宋" w:cs="仿宋"/>
                <w:i w:val="0"/>
                <w:iCs w:val="0"/>
                <w:color w:val="000000"/>
                <w:sz w:val="22"/>
                <w:szCs w:val="22"/>
                <w:u w:val="none"/>
              </w:rPr>
            </w:pP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10C32F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人工智能+市场监管项目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6FA1AFEF">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构建智慧市场监管模式，整合多部门数据，建立企业信用风险预警模型，对守法企业“无事不扰”、对风险企业精准监管。推进食品安全“互联网+AI监管”建设应用，建设应用全盟加油站综合智慧监管系统，构建一体化、智慧化、综合化市场监管平台，实现共享数据、业务协同、精准监管。</w:t>
            </w:r>
          </w:p>
        </w:tc>
        <w:tc>
          <w:tcPr>
            <w:tcW w:w="385" w:type="pct"/>
            <w:tcBorders>
              <w:top w:val="single" w:color="000000" w:sz="4" w:space="0"/>
              <w:left w:val="single" w:color="000000" w:sz="4" w:space="0"/>
              <w:bottom w:val="single" w:color="000000" w:sz="4" w:space="0"/>
              <w:right w:val="single" w:color="000000" w:sz="4" w:space="0"/>
            </w:tcBorders>
            <w:shd w:val="clear"/>
            <w:vAlign w:val="center"/>
          </w:tcPr>
          <w:p w14:paraId="00F58E2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2500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63F9C4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政府投资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4673DB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盟市场监管局</w:t>
            </w:r>
          </w:p>
        </w:tc>
      </w:tr>
      <w:tr w14:paraId="61001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5"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16FF35C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21</w:t>
            </w:r>
          </w:p>
        </w:tc>
        <w:tc>
          <w:tcPr>
            <w:tcW w:w="34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9406A8E">
            <w:pPr>
              <w:jc w:val="center"/>
              <w:rPr>
                <w:rFonts w:hint="eastAsia" w:ascii="仿宋" w:hAnsi="仿宋" w:eastAsia="仿宋" w:cs="仿宋"/>
                <w:i w:val="0"/>
                <w:iCs w:val="0"/>
                <w:color w:val="000000"/>
                <w:sz w:val="22"/>
                <w:szCs w:val="22"/>
                <w:u w:val="none"/>
              </w:rPr>
            </w:pP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56F6C8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锡林浩特市城市精细化管理建设项目</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5B4CA437">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一是软硬件设施升级。扩充前端感知设备，升级AI能力开放平台、物联感知管理平台、多源遥感集成监测系统、车辆监管系统、安全保障系统等，实现对城市事件的精准感知。</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一网统管”基础底座。通过集成多源异构数据、利用国产大模型构建专用人工智能引擎、形成知识图谱关联关系、融合地理信息系统（GIS）、建筑信息模型（BIM）和物联网实时数据，建设城市信息模型（CIM）三维模型，应用于交通仿真、灾害推演、地下管网监测等场景，通过数据建模对城市运行数据进行动态分析，提升城市风险防控能力和精细化管理水平，对城市更新提供决策参考依据。</w:t>
            </w:r>
          </w:p>
        </w:tc>
        <w:tc>
          <w:tcPr>
            <w:tcW w:w="385" w:type="pct"/>
            <w:tcBorders>
              <w:top w:val="single" w:color="000000" w:sz="4" w:space="0"/>
              <w:left w:val="single" w:color="000000" w:sz="4" w:space="0"/>
              <w:bottom w:val="single" w:color="000000" w:sz="4" w:space="0"/>
              <w:right w:val="single" w:color="000000" w:sz="4" w:space="0"/>
            </w:tcBorders>
            <w:shd w:val="clear"/>
            <w:vAlign w:val="center"/>
          </w:tcPr>
          <w:p w14:paraId="7198BCA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383D30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政府投资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3ACEAD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锡林浩特市人民政府</w:t>
            </w:r>
          </w:p>
        </w:tc>
      </w:tr>
      <w:tr w14:paraId="2ADDA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90" w:hRule="atLeast"/>
        </w:trPr>
        <w:tc>
          <w:tcPr>
            <w:tcW w:w="262" w:type="pct"/>
            <w:tcBorders>
              <w:top w:val="single" w:color="000000" w:sz="4" w:space="0"/>
              <w:left w:val="single" w:color="000000" w:sz="4" w:space="0"/>
              <w:bottom w:val="single" w:color="000000" w:sz="4" w:space="0"/>
              <w:right w:val="single" w:color="000000" w:sz="4" w:space="0"/>
            </w:tcBorders>
            <w:shd w:val="clear"/>
            <w:vAlign w:val="center"/>
          </w:tcPr>
          <w:p w14:paraId="0B502AB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22</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14:paraId="62B083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赋能国际合作</w:t>
            </w:r>
          </w:p>
        </w:tc>
        <w:tc>
          <w:tcPr>
            <w:tcW w:w="609" w:type="pct"/>
            <w:tcBorders>
              <w:top w:val="single" w:color="000000" w:sz="4" w:space="0"/>
              <w:left w:val="single" w:color="000000" w:sz="4" w:space="0"/>
              <w:bottom w:val="single" w:color="000000" w:sz="4" w:space="0"/>
              <w:right w:val="single" w:color="000000" w:sz="4" w:space="0"/>
            </w:tcBorders>
            <w:shd w:val="clear"/>
            <w:vAlign w:val="center"/>
          </w:tcPr>
          <w:p w14:paraId="74BF55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口岸智慧化提升工程</w:t>
            </w:r>
          </w:p>
        </w:tc>
        <w:tc>
          <w:tcPr>
            <w:tcW w:w="2558" w:type="pct"/>
            <w:tcBorders>
              <w:top w:val="single" w:color="000000" w:sz="4" w:space="0"/>
              <w:left w:val="single" w:color="000000" w:sz="4" w:space="0"/>
              <w:bottom w:val="single" w:color="000000" w:sz="4" w:space="0"/>
              <w:right w:val="single" w:color="000000" w:sz="4" w:space="0"/>
            </w:tcBorders>
            <w:shd w:val="clear"/>
            <w:vAlign w:val="center"/>
          </w:tcPr>
          <w:p w14:paraId="5D6AA8F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一是建设以人工智能为核心的口岸数据中枢，实现海关、商检、边防等部门的数据资源打通与深度融合。预测口岸运营趋势，为口岸管理决策提供科学依据。</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二是针对铁路口岸，构建智能列车监控系统，实时捕捉列车进出动态，提升列车通关效率。</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三是跨境智能审单系统，利用人工智能技术辅助传统人工审单，缩短通关时间，提升口岸通关便利化水平。</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    四是通过电子沙盘和全景地图建模，实现口岸货物流向、车流密度和业务处理进度的可视化监控。</w:t>
            </w:r>
          </w:p>
        </w:tc>
        <w:tc>
          <w:tcPr>
            <w:tcW w:w="385" w:type="pct"/>
            <w:tcBorders>
              <w:top w:val="single" w:color="000000" w:sz="4" w:space="0"/>
              <w:left w:val="single" w:color="000000" w:sz="4" w:space="0"/>
              <w:bottom w:val="single" w:color="000000" w:sz="4" w:space="0"/>
              <w:right w:val="single" w:color="000000" w:sz="4" w:space="0"/>
            </w:tcBorders>
            <w:shd w:val="clear"/>
            <w:vAlign w:val="center"/>
          </w:tcPr>
          <w:p w14:paraId="1454E9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10000</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56E5CF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企业投资</w:t>
            </w:r>
          </w:p>
        </w:tc>
        <w:tc>
          <w:tcPr>
            <w:tcW w:w="390" w:type="pct"/>
            <w:tcBorders>
              <w:top w:val="single" w:color="000000" w:sz="4" w:space="0"/>
              <w:left w:val="single" w:color="000000" w:sz="4" w:space="0"/>
              <w:bottom w:val="single" w:color="000000" w:sz="4" w:space="0"/>
              <w:right w:val="single" w:color="000000" w:sz="4" w:space="0"/>
            </w:tcBorders>
            <w:shd w:val="clear"/>
            <w:vAlign w:val="center"/>
          </w:tcPr>
          <w:p w14:paraId="437D31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盟商务局，二连浩特市、东乌珠穆沁旗人民政府</w:t>
            </w:r>
          </w:p>
        </w:tc>
      </w:tr>
    </w:tbl>
    <w:p w14:paraId="2F261DD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BE25B2F9">
    <w:panose1 w:val="0201060103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077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6">
    <w:name w:val="font11"/>
    <w:basedOn w:val="5"/>
    <w:uiPriority w:val="0"/>
    <w:rPr>
      <w:rFonts w:hint="eastAsia" w:ascii="仿宋" w:hAnsi="仿宋" w:eastAsia="仿宋" w:cs="仿宋"/>
      <w:color w:val="000000"/>
      <w:sz w:val="22"/>
      <w:szCs w:val="22"/>
      <w:u w:val="none"/>
    </w:rPr>
  </w:style>
  <w:style w:type="character" w:customStyle="1" w:styleId="7">
    <w:name w:val="font61"/>
    <w:basedOn w:val="5"/>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2</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2026-09-08T06:04:26Z</dcterms:created>
  <dc:creator>ZWINSOFT</dc:creator>
  <cp:lastModifiedBy>柠</cp:lastModifiedBy>
  <dcterms:modified xsi:type="dcterms:W3CDTF">2026-09-08T06:06:47Z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eyJoZGlkIjoiNTAxZDUzYzA4NzY0MDJiOTVkMTZhNTVlYzUxNjcyMmUiLCJ1c2VySWQiOiIyMzUyNjE5NTYifQ==</vt:lpwstr>
  </property>
  <property fmtid="{D5CDD505-2E9C-101B-9397-08002B2CF9AE}" pid="4" name="ICV">
    <vt:lpwstr>8D71FEB5D7B44E669D4241D6A4421598_12</vt:lpwstr>
  </property>
</Properties>
</file>